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26 BayNatSchG (Bayern) — Recht auf Naturgenuss und Erholung (Art. 26 Abs. 1 Satz 2 abweichend von § 59 Abs. 2 Satz 1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Jedermann hat das Recht auf den Genuss der Naturschönheiten und auf die Erholung in der freien Natur. Dieses Recht wird nach Maßgabe des Art. 141 Abs. 3 der Verfassung und der folgenden Bestimmungen dieses Teils gewährleistet; weitergehende Rechte auf Grund anderer Vorschriften bleiben unberührt.</w:t>
      </w:r>
    </w:p>
    <w:p>
      <w:r>
        <w:t xml:space="preserve">(2) Bei der Ausübung des Rechts nach Abs. 1 ist jedermann verpflichtet, mit Natur und Landschaft pfleglich umzugehen. Dabei ist auf die Belange der Grundstückseigentümer und Nutzungsberechtigten Rücksicht zu nehmen. Die Rechtsausübung anderer darf nicht verhindert oder mehr als nach den Umständen unvermeidbar beeinträchtigt werden (Gemeinverträglichkeit).</w:t>
      </w:r>
    </w:p>
    <w:p>
      <w:r>
        <w:rPr>
          <w:color w:val="555555"/>
          <w:sz w:val="17"/>
        </w:rPr>
        <w:t xml:space="preserve">Zitiervorschlag: Art 26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26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