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25 BayNatSchG (Bayern) — Tiergehege</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Anträge auf Erteilung der jagdrechtlichen Genehmigung oder der Zoogenehmigung gelten als Anzeige im Sinn von § 43 Abs. 3 Satz 1 BNatSchG; dies gilt auch für die tierschutzrechtliche Anzeige.</w:t>
      </w:r>
    </w:p>
    <w:p>
      <w:r>
        <w:t xml:space="preserve">(2) Ist bereits nach anderen Vorschriften eine Gestattung für die Errichtung, die Erweiterung, wesentliche Änderung oder den Betrieb eines Tiergeheges erforderlich, trifft die für die anderweitige Gestattung zuständige Behörde die Entscheidungen nach § 43 Abs. 3 Sätze 2 bis 4 BNatSchG im Benehmen mit der unteren Naturschutzbehörde.</w:t>
      </w:r>
    </w:p>
    <w:p>
      <w:r>
        <w:t xml:space="preserve">(3) Eine Anzeigepflicht nach § 43 Abs. 3 Satz 1 BNatSchG besteht nicht für Gehege,</w:t>
      </w:r>
    </w:p>
    <w:p>
      <w:r>
        <w:t xml:space="preserve">1. die unter staatlicher Aufsicht stehen,</w:t>
      </w:r>
    </w:p>
    <w:p>
      <w:r>
        <w:t xml:space="preserve">2. die nur für kurze Zeit aufgestellt werden oder eine geringe Fläche beanspruchen oder</w:t>
      </w:r>
    </w:p>
    <w:p>
      <w:r>
        <w:t xml:space="preserve">3. in denen nur eine geringe Anzahl von Tieren oder Tiere mit geringen Anforderungen an ihre Haltung gehalten werden.</w:t>
      </w:r>
    </w:p>
    <w:p>
      <w:r>
        <w:rPr>
          <w:color w:val="555555"/>
          <w:sz w:val="17"/>
        </w:rPr>
        <w:t xml:space="preserve">Zitiervorschlag: Art 25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