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24 BayNatSchG (Bayern) — Zoos</w:t>
      </w:r>
    </w:p>
    <w:p>
      <w:r>
        <w:rPr>
          <w:color w:val="555555"/>
          <w:sz w:val="18"/>
        </w:rPr>
        <w:t xml:space="preserve">Bayerisches Naturschutzgesetz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Die Genehmigung zur Errichtung, Erweiterung, wesentlichen Änderung und zum Betrieb eines Zoos nach § 42 Abs. 2 BNatSchG schließt die Erlaubnis nach § 11 Abs. 1 Satz 1 Nrn. 2a und 3 Buchst. d des Tierschutzgesetzes mit ein. Sie setzt voraus, dass die für die Erlaubnis erforderlichen Voraussetzungen vorliegen. Die Zoogenehmigung wird zusammen mit der tierschutzrechtlichen Erlaubnis durch eine nach anderen Vorschriften außerhalb des Naturschutzrechts erforderliche behördliche Gestattung ersetzt; die behördliche Gestattung darf nur erteilt werden, wenn die für die Genehmigung und die Erlaubnis erforderlichen Voraussetzungen vorliegen und die hierfür zuständigen Stellen ihr Einvernehmen erklärt haben.</w:t>
      </w:r>
    </w:p>
    <w:p>
      <w:r>
        <w:rPr>
          <w:color w:val="555555"/>
          <w:sz w:val="17"/>
        </w:rPr>
        <w:t xml:space="preserve">Zitiervorschlag: Art 24 BayNatSchG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https://recht.nulegal.eu/gesetze/BayNatSchG/24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