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23 BayNatSchG (Bayern) — Gesetzlich geschützte Biotope (Art. 23 Abs. 2 abweichend von § 30 Abs. 2, 3 und 5 BNatSchG, Art. 23 Abs. 3 abweichend von §§ 30 Abs. 3, 67 Abs. 1 BNatSchG, Art. 23 Abs. 4 abweichend von §§ 30 Abs. 3, 67 Abs. 1 BNatSchG)</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Gesetzlich geschützte Biotope im Sinn des § 30 Abs. 2 Satz 2 BNatSchG sind auch</w:t>
      </w:r>
    </w:p>
    <w:p>
      <w:r>
        <w:t xml:space="preserve">1. Landröhrichte, Pfeifengraswiesen,</w:t>
      </w:r>
    </w:p>
    <w:p>
      <w:r>
        <w:t xml:space="preserve">2. Moorwälder,</w:t>
      </w:r>
    </w:p>
    <w:p>
      <w:r>
        <w:t xml:space="preserve">3. wärmeliebende Säume,</w:t>
      </w:r>
    </w:p>
    <w:p>
      <w:r>
        <w:t xml:space="preserve">4. Magerrasen, Felsheiden,</w:t>
      </w:r>
    </w:p>
    <w:p>
      <w:r>
        <w:t xml:space="preserve">5. alpine Hochstaudenfluren,</w:t>
      </w:r>
    </w:p>
    <w:p>
      <w:r>
        <w:t xml:space="preserve">6. extensiv genutzte Obstbaumwiesen oder -weiden aus hochstämmigen Obstbäumen mit einer Fläche ab 2.500 Quadratmetern (Streuobstbestände) mit Ausnahme von Bäumen, die weniger als 50 Meter vom nächstgelegenen Wohngebäude oder Hofgebäude entfernt sind und</w:t>
      </w:r>
    </w:p>
    <w:p>
      <w:r>
        <w:t xml:space="preserve">7. arten- und strukturreiches Dauergrünland.</w:t>
      </w:r>
    </w:p>
    <w:p>
      <w:r>
        <w:t xml:space="preserve">Die Staatsregierung wird ermächtigt, durch Rechtsverordnung Einzelheiten zur fachlichen Abgrenzung der in Satz 1 Nr. 6 und 7 genannten Biotope zu bestimmen.</w:t>
      </w:r>
    </w:p>
    <w:p>
      <w:r>
        <w:t xml:space="preserve">(2) Die Verbote nach § 30 Abs. 2 BNatSchG gelten nicht bei gesetzlich geschützten Biotopen, die</w:t>
      </w:r>
    </w:p>
    <w:p>
      <w:r>
        <w:t xml:space="preserve">1. nach Inkrafttreten eines Bebauungsplans entstanden sind, wenn eine nach diesem Plan zulässige Nutzung in seinem Geltungsbereich verwirklicht wird,</w:t>
      </w:r>
    </w:p>
    <w:p>
      <w:r>
        <w:t xml:space="preserve">2. während der Laufzeit einer vertraglichen Vereinbarung oder der Teilnahme an öffentlichen Programmen zur Bewirtschaftungsbeschränkung entstanden sind, soweit diese innerhalb einer Frist von fünfzehn Jahren nach Beendigung der vertraglichen Vereinbarung oder der Teilnahme an den öffentlichen Programmen wieder einer land-, forst- oder fischereiwirtschaftlichen Nutzung zugeführt werden.</w:t>
      </w:r>
    </w:p>
    <w:p>
      <w:r>
        <w:t xml:space="preserve">Die Verbote nach § 30 Abs. 2 BNatSchG gelten außerdem nicht für regelmäßig erforderliche Maßnahmen zur Unterhaltung</w:t>
      </w:r>
    </w:p>
    <w:p>
      <w:r>
        <w:t xml:space="preserve">1. der künstlichen, zum Zweck der Fischereiwirtschaft angelegten geschlossenen Gewässer im Sinne des § 30 Abs. 2 Satz 1 Nr. 1 BNatSchG oder</w:t>
      </w:r>
    </w:p>
    <w:p>
      <w:r>
        <w:t xml:space="preserve">2. der Obstbaumwiesen oder -weiden im Sinn des Abs. 1 Nr. 6.</w:t>
      </w:r>
    </w:p>
    <w:p>
      <w:r>
        <w:t xml:space="preserve">(3) Für eine Maßnahme kann auf Antrag eine Ausnahme zugelassen werden, wenn die Beeinträchtigungen ausgeglichen werden können oder wenn die Maßnahme aus Gründen des überwiegenden öffentlichen Interesses notwendig ist. Die Entscheidung über die Ausnahme wird durch eine nach anderen Vorschriften erforderliche behördliche Gestattung ersetzt; diese Entscheidung wird im Benehmen mit der zuständigen Naturschutzbehörde getroffen.</w:t>
      </w:r>
    </w:p>
    <w:p>
      <w:r>
        <w:t xml:space="preserve">(4) Abweichend von § 30 Abs. 3 und § 67 Abs. 1 BNatSchG bedürfen Maßnahmen auf Grund der öffentlich-rechtlichen Verpflichtung zur Unterhaltung der Gewässer keiner behördlichen Ausnahme- oder Befreiungsentscheidung vom Verbot des § 30 Abs. 2 Satz 1 BNatSchG. Sie dürfen nur unter den Voraussetzungen des Art. 23 Abs. 3 Satz 1 oder des § 67 Abs. 1 BNatSchG durchgeführt werden.</w:t>
      </w:r>
    </w:p>
    <w:p>
      <w:r>
        <w:t xml:space="preserve">(5) Die Sicherung von Brut-, Nahrungs- und Aufzuchtsbiotopen des Großen Brachvogels, der Uferschnepfe, des Rotschenkels, der Bekassine, des Weißstorchs, des Kiebitzes, des Braunkehlchens oder des Wachtelkönigs in feuchten Wirtschaftswiesen und -weiden (Wiesenbrütergebiete) soll in geeigneter Weise, insbesondere durch privatrechtliche Vereinbarungen, angestrebt werden.</w:t>
      </w:r>
    </w:p>
    <w:p>
      <w:r>
        <w:t xml:space="preserve">(6) Für Handlungen nach § 30 Abs. 2 BNatSchG, die der Verwendung der Biotope zu intensiver landwirtschaftlicher Nutzung dienen, richtet sich die Umweltverträglichkeitsprüfung nach den Vorschriften des Gesetzes über die Umweltverträglichkeitsprüfung (UVPG). Abweichend von Nr. 17.3.3 der Anlage 1 zum UVPG findet eine standortbezogene Vorprüfung nicht statt.</w:t>
      </w:r>
    </w:p>
    <w:p>
      <w:r>
        <w:rPr>
          <w:color w:val="555555"/>
          <w:sz w:val="17"/>
        </w:rPr>
        <w:t xml:space="preserve">Zitiervorschlag: Art 23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https://recht.nulegal.eu/gesetze/BayNatSchG/23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