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22 BayNatSchG (Bayern) — Zuständigkeiten für Natura 2000-Verfahren</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 für Entscheidungen und Maßnahmen nach § 33 Abs. 1 Satz 2 und § 34 Abs. 3 bis 5 BNatSchG ist die nach Art. 56 Satz 1 zuständige Behörde; sind danach für ein Vorhaben neben der höheren Naturschutzbehörde weitere Naturschutzbehörden zuständig, entscheidet die höhere Naturschutzbehörde über das gesamte Vorhaben. Die Entscheidung wird durch eine nach anderen Vorschriften erforderliche behördliche Gestattung ersetzt, soweit für diese nicht ihrerseits eine Ersetzung geregelt ist; die Entscheidung ersetzt auch eine nach Art. 56 gleichzeitig erforderliche Befreiung. Die behördliche Gestattung darf nur ergehen, wenn die Voraussetzungen für die Entscheidung vorliegen und die nach Satz 1 zuständige Naturschutzbehörde ihr Einvernehmen erteilt hat.</w:t>
      </w:r>
    </w:p>
    <w:p>
      <w:r>
        <w:t xml:space="preserve">(2) Zuständige Behörde nach § 34 Abs. 6 BNatSchG ist die untere Naturschutzbehörde. Ist das Projekt teilweise gestattungspflichtig, ist die nach Abs. 1 zuständige Behörde für das gesamte Projekt zuständig.</w:t>
      </w:r>
    </w:p>
    <w:p>
      <w:r>
        <w:t xml:space="preserve">(3) Eine Behörde, die ein Projekt durchführt, das weder einer Gestattung nach anderen Rechtsvorschriften noch einer Anzeige an eine andere Behörde bedarf, führt das Projekt unter den Voraussetzungen des § 34 Abs. 1 bis 5 BNatSchG im Einvernehmen mit der Naturschutzbehörde der vergleichbaren Verwaltungsstufe durch. Das Einvernehmen entfällt in Gebieten, für die Bewirtschaftungspläne im Sinn des § 32 Abs. 5 BNatSchG vorliegen oder für die die zuständigen Wasserwirtschaftsbehörden Gewässerentwicklungskonzepte aufgestellt haben, die den Anforderungen an Bewirtschaftungspläne im Sinn des § 32 Abs. 5 BNatSchG entsprechen.</w:t>
      </w:r>
    </w:p>
    <w:p>
      <w:r>
        <w:t xml:space="preserve">(4) Die Verträglichkeitsprüfung erfolgt durch die verfahrensführende Behörde im Benehmen mit der Naturschutzbehörde der vergleichbaren Verwaltungsstufe.</w:t>
      </w:r>
    </w:p>
    <w:p>
      <w:r>
        <w:t xml:space="preserve">(5) Zuständige Behörde nach § 34 Abs. 4 Satz 2 und Abs. 5 Satz 2 BNatSchG ist die oberste Naturschutzbehörde.</w:t>
      </w:r>
    </w:p>
    <w:p>
      <w:r>
        <w:rPr>
          <w:color w:val="555555"/>
          <w:sz w:val="17"/>
        </w:rPr>
        <w:t xml:space="preserve">Zitiervorschlag: Art 22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22 BayNatSchG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