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BayNatSchG (Bayern) — Biotopverbund, Biotopvernetzung, Arten- und Biotopschutzprogramm</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Freistaat Bayern schafft ein Netz räumlich oder funktional verbundener Biotope (Biotopverbund), das bis zum Jahr 2023 mindestens 10 % Offenland und bis zum Jahr 2027 mindestens 13 % Offenland der Landesfläche umfasst. Ziel ist, dass der Biotopverbund bis zum Jahr 2030 mindestens 15 % Offenland der Landesfläche umfasst.</w:t>
      </w:r>
    </w:p>
    <w:p>
      <w:r>
        <w:t xml:space="preserve">(2) Fachliche Grundlage für die Auswahl der Bestandteile des Biotopverbunds nach § 21 Abs. 3 BNatSchG ist insbesondere das Arten- und Biotopschutzprogramm. Es enthält</w:t>
      </w:r>
    </w:p>
    <w:p>
      <w:r>
        <w:t xml:space="preserve">1. die Darstellung und Bewertung der unter dem Gesichtspunkt des Arten- und Biotopschutzes bedeutsamen Populationen, Lebensgemeinschaften und Biotope wild lebender Tier- und Pflanzenarten, insbesondere der in ihrem Bestand gefährdeten Arten und Lebensräume,</w:t>
      </w:r>
    </w:p>
    <w:p>
      <w:r>
        <w:t xml:space="preserve">2. die zu deren Schutz, Pflege und Entwicklung erforderlichen Ziele und Maßnahmen sowie Wege zu ihrer Verwirklichung.</w:t>
      </w:r>
    </w:p>
    <w:p>
      <w:r>
        <w:t xml:space="preserve">Für die Auswahl von Flächen hat der funktionale Zusammenhang innerhalb des Biotopverbunds besonderes Gewicht. Zur Umsetzung sollen unter anderem entlang von Gewässern, Waldrändern und Verkehrswegen Vernetzungskorridore geschaffen werden. Die Umsetzung erfolgt im Wege kooperativer Maßnahmen. Das Arten- und Biotopschutzprogramm unterliegt als Fachkonzept der ständigen Fortentwicklung. Die Verwirklichung der Ziele und Maßnahmen des Arten- und Biotopschutzprogramms erfolgt insbesondere in Biotopverbundprojekten.</w:t>
      </w:r>
    </w:p>
    <w:p>
      <w:r>
        <w:t xml:space="preserve">(3) Zur Renaturierung von Mooren sowie für eine moorverträgliche land- und forstwirtschaftliche Nutzung erstellt die oberste Naturschutzbehörde im Einvernehmen mit dem Staatsministerium für Ernährung, Landwirtschaft, Forsten und Tourismus einen Fachplan Moore und schreibt diesen bei Bedarf fort.</w:t>
      </w:r>
    </w:p>
    <w:p>
      <w:r>
        <w:rPr>
          <w:color w:val="555555"/>
          <w:sz w:val="17"/>
        </w:rPr>
        <w:t xml:space="preserve">Zitiervorschlag: Art 19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