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18 BayNatSchG (Bayern) — Vollzug von Schutzverordnungen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Eine auf Grund einer Schutzverordnung erforderliche behördliche Gestattung wird durch eine nach anderen Vorschriften erforderliche behördliche Gestattung ersetzt; diese Gestattung darf nur erteilt werden, wenn die Voraussetzungen für die Erteilung der nach der Schutzverordnung erforderlichen Gestattung vorliegen und die nach Naturschutzrecht zuständige Behörde ihr Einvernehmen erklärt.</w:t>
      </w:r>
    </w:p>
    <w:p>
      <w:r>
        <w:t xml:space="preserve">(2) Werden Veränderungen oder Störungen von geschützten oder von einstweilig sichergestellten Gebieten oder Gegenständen oder von geplanten Naturschutzgebieten im Sinn des Art. 54 Abs. 3 im Widerspruch zu öffentlich-rechtlichen Vorschriften begonnen oder durchgeführt, sind die Vorschriften des § 17 Abs. 8 BNatSchG entsprechend anzuwenden.</w:t>
      </w:r>
    </w:p>
    <w:p>
      <w:r>
        <w:rPr>
          <w:color w:val="555555"/>
          <w:sz w:val="17"/>
        </w:rPr>
        <w:t xml:space="preserve">Zitiervorschlag: Art 18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