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BayNatSchG (Bayern) — Naturparke (abweichend von § 27 BNatSchG)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Großräumige, der naturräumlichen Gliederung entsprechende Gebiete von in der Regel mindestens 20 000 ha Fläche, die</w:t>
      </w:r>
    </w:p>
    <w:p>
      <w:r>
        <w:t xml:space="preserve">1. überwiegend als Landschaftsschutzgebiete oder Naturschutzgebiete festgesetzt sind,</w:t>
      </w:r>
    </w:p>
    <w:p>
      <w:r>
        <w:t xml:space="preserve">2. sich wegen ihrer landschaftlichen Voraussetzungen für umweltverträgliche Erholungsformen besonders eignen,</w:t>
      </w:r>
    </w:p>
    <w:p>
      <w:r>
        <w:t xml:space="preserve">3. der Erhaltung, Entwicklung oder Wiederherstellung einer durch vielfältige Nutzungsformen geprägten Landschaft und ihrer Arten- und Biotopvielfalt dienen und in denen zu diesem Zweck eine dauerhaft umweltgerechte Landnutzung angestrebt wird,</w:t>
      </w:r>
    </w:p>
    <w:p>
      <w:r>
        <w:t xml:space="preserve">4. besonders dazu geeignet sind, eine nachhaltige Regionalentwicklung zu fördern und</w:t>
      </w:r>
    </w:p>
    <w:p>
      <w:r>
        <w:t xml:space="preserve">5. durch einen Träger entsprechend ihrem Naturschutz- und Erholungszweck entwickelt und gepflegt werden,</w:t>
      </w:r>
    </w:p>
    <w:p>
      <w:r>
        <w:t xml:space="preserve">können von der obersten Naturschutzbehörde zu Naturparken erklärt werden.</w:t>
      </w:r>
    </w:p>
    <w:p>
      <w:r>
        <w:t xml:space="preserve">(2) Naturparkverordnungen der obersten Naturschutzbehörde gelten hinsichtlich der Festsetzung von Schutzzonen mit Verboten als Rechtsverordnungen über Landschaftsschutzgebiete weiter.</w:t>
      </w:r>
    </w:p>
    <w:p>
      <w:r>
        <w:rPr>
          <w:color w:val="555555"/>
          <w:sz w:val="17"/>
        </w:rPr>
        <w:t xml:space="preserve">Zitiervorschlag: Art 15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