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 BayNatSchG (Bayern) — Form der Schutzerklärung</w:t>
      </w:r>
    </w:p>
    <w:p>
      <w:r>
        <w:rPr>
          <w:color w:val="555555"/>
          <w:sz w:val="18"/>
        </w:rPr>
        <w:t xml:space="preserve">Bayerisches Naturschutzgesetz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Unterschutzstellung von Teilen von Natur und Landschaft nach § 20 Abs. 2 Nrn. 1, 2, 4, 6 und 7 BNatSchG erfolgt durch Rechtsverordnung, sofern in diesem Gesetz nichts anderes bestimmt ist. Die Unterschutzstellung eines Gebiets als Nationalpark nach § 24 Abs. 1 BNatSchG bedarf hinsichtlich der Erklärung, des Gebietsumfangs und des Schutzzwecks der Zustimmung des Landtags.</w:t>
      </w:r>
    </w:p>
    <w:p>
      <w:r>
        <w:t xml:space="preserve">(2) Die Erklärung zum Biosphärenreservat und zum Naturpark erfolgt durch Allgemeinverfügung.</w:t>
      </w:r>
    </w:p>
    <w:p>
      <w:r>
        <w:t xml:space="preserve">(3) Auch ohne Erlass einer Rechtsverordnung kann durch Einzelanordnung verboten werden, Gegenstände, die die Voraussetzungen des § 28 Abs. 1 BNatSchG oder des § 29 Abs. 1 BNatSchG erfüllen, zu beseitigen, zu zerstören, zu beschädigen oder zu verändern.</w:t>
      </w:r>
    </w:p>
    <w:p>
      <w:r>
        <w:rPr>
          <w:color w:val="555555"/>
          <w:sz w:val="17"/>
        </w:rPr>
        <w:t xml:space="preserve">Zitiervorschlag: Art 12 BayNatSchG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https://recht.nulegal.eu/gesetze/BayNatSchG/12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