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BayNatSchG (Bayern) — Zuständigkeit für die Eingriffsregelung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nach § 17 Abs. 1 BNatSchG für Naturschutz und Landschaftspflege zuständige Behörde ist die Naturschutzbehörde der vergleichbaren Verwaltungsstufe.</w:t>
      </w:r>
    </w:p>
    <w:p>
      <w:r>
        <w:t xml:space="preserve">(2) Die Beurteilung einer land-, forst- oder fischereiwirtschaftlichen Bodennutzung als Eingriff in Natur und Landschaft bedarf des Einvernehmens mit der jeweiligen Fachbehörde der vergleichbaren Verwaltungsstufe.</w:t>
      </w:r>
    </w:p>
    <w:p>
      <w:r>
        <w:rPr>
          <w:color w:val="555555"/>
          <w:sz w:val="17"/>
        </w:rPr>
        <w:t xml:space="preserve">Zitiervorschlag: Art 11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