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BayNatSchFS (Bayern)</w:t>
      </w:r>
    </w:p>
    <w:p>
      <w:r>
        <w:rPr>
          <w:color w:val="555555"/>
          <w:sz w:val="18"/>
        </w:rPr>
        <w:t xml:space="preserve">Satzung für den Bayerischen Naturschutzfonds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50 Abs. 6 des Gesetzes über den Schutz der Natur, die Pflege der Landschaft und die Erholung in der freien Natur (Bayerisches Naturschutzgesetz – BayNatSchG) vom 23. Februar 2011 (GVBl S. 82, BayRS 791-1-U), zuletzt geändert durch § 1 Nr. 398 der Verordnung vom 22. Juli 2014 (GVBl S. 286), erlässt das Bayerische Staatsministerium für Umwelt und Verbraucherschutz, bezüglich § 4 Abs. 1 und § 12 Abs. 3 im Einvernehmen mit dem Bayerischen Staatsministerium der Finanzen, für Landesentwicklung und Heimat folgende Satzung:</w:t>
      </w:r>
    </w:p>
    <w:p>
      <w:r>
        <w:rPr>
          <w:color w:val="555555"/>
          <w:sz w:val="17"/>
        </w:rPr>
        <w:t xml:space="preserve">Zitiervorschlag: Eingangsformel BayNatSchFS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https://recht.nulegal.eu/gesetze/BayNatSchFS/eingangsformel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