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BayNatSchFS (Bayern) — Aufgaben des Stiftungsrats</w:t>
      </w:r>
    </w:p>
    <w:p>
      <w:r>
        <w:rPr>
          <w:color w:val="555555"/>
          <w:sz w:val="18"/>
        </w:rPr>
        <w:t xml:space="preserve">Satzung für den Bayerischen Naturschutzfonds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Stiftungsrat entscheidet über die allgemeinen Richtlinien zur Erfüllung des Stiftungszwecks. Er stellt den Haushaltsplan fest.</w:t>
      </w:r>
    </w:p>
    <w:p>
      <w:r>
        <w:t xml:space="preserve">(2) Der Stiftungsrat beschließt ferner über</w:t>
      </w:r>
    </w:p>
    <w:p>
      <w:r>
        <w:t xml:space="preserve">1. die Grundsätze zur Anlage des Vermögens der Stiftung,</w:t>
      </w:r>
    </w:p>
    <w:p>
      <w:r>
        <w:t xml:space="preserve">2. jährliche und mehrjährige Programme,</w:t>
      </w:r>
    </w:p>
    <w:p>
      <w:r>
        <w:t xml:space="preserve">3. Rechtsgeschäfte und Maßnahmen, die über den Rahmen der laufenden Geschäfte hinausgehen,</w:t>
      </w:r>
    </w:p>
    <w:p>
      <w:r>
        <w:t xml:space="preserve">4. den Auftrag zur Prüfung der Jahresrechnung (§ 12 Abs. 3),</w:t>
      </w:r>
    </w:p>
    <w:p>
      <w:r>
        <w:t xml:space="preserve">5. die Jahresrechnung und die Vermögensübersicht,</w:t>
      </w:r>
    </w:p>
    <w:p>
      <w:r>
        <w:t xml:space="preserve">6. die Entlastung des Vorstands; diese bedarf der Genehmigung durch das Staatsministerium für Umwelt und Verbraucherschutz sowie durch das Staatsministerium der Finanzen, für Landesentwicklung und Heimat,</w:t>
      </w:r>
    </w:p>
    <w:p>
      <w:r>
        <w:t xml:space="preserve">7. die Aufnahme in den Förderkreis (§ 10).</w:t>
      </w:r>
    </w:p>
    <w:p>
      <w:r>
        <w:rPr>
          <w:color w:val="555555"/>
          <w:sz w:val="17"/>
        </w:rPr>
        <w:t xml:space="preserve">Zitiervorschlag: § 8 BayNatSchFS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https://recht.nulegal.eu/gesetze/BayNatSchFS/8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