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BayNatSchFS (Bayern) — Geschäftsgang des Stiftungsrats</w:t>
      </w:r>
    </w:p>
    <w:p>
      <w:r>
        <w:rPr>
          <w:color w:val="555555"/>
          <w:sz w:val="18"/>
        </w:rPr>
        <w:t xml:space="preserve">Satzung für den Bayerischen Naturschutzfonds</w:t>
      </w:r>
    </w:p>
    <w:p>
      <w:r>
        <w:rPr>
          <w:color w:val="555555"/>
          <w:sz w:val="18"/>
        </w:rPr>
        <w:t xml:space="preserve">Landesrecht Bayern</w:t>
      </w:r>
    </w:p>
    <w:p>
      <w:r>
        <w:rPr>
          <w:color w:val="555555"/>
          <w:sz w:val="18"/>
        </w:rPr>
        <w:t xml:space="preserve">Stand: 25.08.2026 (konsolidierte Textfassung, kein amtliches Inkrafttretensdatum)</w:t>
      </w:r>
    </w:p>
    <w:p>
      <w:r>
        <w:t xml:space="preserve">(1) Vorsitzender des Stiftungsrats ist der Staatsminister für Umwelt und Verbraucherschutz oder dessen Beauftragter.</w:t>
      </w:r>
    </w:p>
    <w:p>
      <w:r>
        <w:t xml:space="preserve">(2) Der Vorsitzende beruft den Stiftungsrat nach Bedarf, mindestens zweimal jährlich, ein. Die Einberufung hat zu erfolgen, wenn dies mindestens vier Mitglieder beantragen. Die Einberufung zu den Sitzungen erfolgt schriftlich unter Übersendung der Tagesordnung mit einer Frist von mindestens zwei Wochen.</w:t>
      </w:r>
    </w:p>
    <w:p>
      <w:r>
        <w:t xml:space="preserve">(3) Der Stiftungsrat kann sich eine Geschäftsordnung geben. Er kann zu seinen Beratungen Sachverständige zuziehen. Der Vorstand hat das Recht, an den Sitzungen des Stiftungsrats mit beratender Stimme teilzunehmen.</w:t>
      </w:r>
    </w:p>
    <w:p>
      <w:r>
        <w:t xml:space="preserve">(4) Der Stiftungsrat ist beschlussfähig, wenn er ordnungsgemäß einberufen ist (Abs. 2) und mindestens sechs Mitglieder anwesend oder nach § 6 Abs. 4 vertreten sind. Ladungsfehler gelten als geheilt, wenn die nicht ordnungsgemäß einberufenen Mitglieder anwesend sind und rügelos teilnehmen.</w:t>
      </w:r>
    </w:p>
    <w:p>
      <w:r>
        <w:t xml:space="preserve">(5) Beschlüsse werden mit einfacher Mehrheit der anwesenden Mitglieder gefasst. Der Stiftungsrat kann einen Beschluss im Umlaufverfahren auch dadurch fassen, dass die Mehrheit seiner Mitglieder ihre Zustimmung schriftlich erteilt.</w:t>
      </w:r>
    </w:p>
    <w:p>
      <w:r>
        <w:rPr>
          <w:color w:val="555555"/>
          <w:sz w:val="17"/>
        </w:rPr>
        <w:t xml:space="preserve">Zitiervorschlag: § 7 BayNatSchFS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https://recht.nulegal.eu/gesetze/BayNatSchFS/7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