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BayNatSchFS (Bayern) — Vermögen, Erträge</w:t>
      </w:r>
    </w:p>
    <w:p>
      <w:r>
        <w:rPr>
          <w:color w:val="555555"/>
          <w:sz w:val="18"/>
        </w:rPr>
        <w:t xml:space="preserve">Satzung für den Bayerischen Naturschutzfonds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Grundstockvermögen der Stiftung besteht aus der vom Freistaat Bayern eingebrachten Grundausstattung in Höhe von 12 782 297,03 €. Zustiftungen sind zulässig.</w:t>
      </w:r>
    </w:p>
    <w:p>
      <w:r>
        <w:t xml:space="preserve">(2) Die Stiftung erfüllt ihre Aufgaben aus den in Art. 50 Abs. 3 BayNatSchG genannten Mitteln.</w:t>
      </w:r>
    </w:p>
    <w:p>
      <w:r>
        <w:rPr>
          <w:color w:val="555555"/>
          <w:sz w:val="17"/>
        </w:rPr>
        <w:t xml:space="preserve">Zitiervorschlag: § 4 BayNatSchFS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https://recht.nulegal.eu/gesetze/BayNatSchFS/4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