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BayNatSchFS (Bayern) — Gemeinnützigkeit</w:t>
      </w:r>
    </w:p>
    <w:p>
      <w:r>
        <w:rPr>
          <w:color w:val="555555"/>
          <w:sz w:val="18"/>
        </w:rPr>
        <w:t xml:space="preserve">Satzung für den Bayerischen Naturschutzfonds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Stiftung verfolgt ausschließlich und unmittelbar gemeinnützige Zwecke im Sinn der Abgabenordnung. Sie ist selbstlos tätig und verfolgt nicht in erster Linie eigenwirtschaftliche Zwecke.</w:t>
      </w:r>
    </w:p>
    <w:p>
      <w:r>
        <w:t xml:space="preserve">(2) Die Verwaltung des Stiftungsvermögens richtet sich nach dem Bayerischen Stiftungsgesetz (BayStG).</w:t>
      </w:r>
    </w:p>
    <w:p>
      <w:r>
        <w:rPr>
          <w:color w:val="555555"/>
          <w:sz w:val="17"/>
        </w:rPr>
        <w:t xml:space="preserve">Zitiervorschlag: § 3 BayNatSchFS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https://recht.nulegal.eu/gesetze/BayNatSchFS/3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