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BayNatSchFS (Bayern) — Inkrafttreten, Außerkrafttreten</w:t>
      </w:r>
    </w:p>
    <w:p>
      <w:r>
        <w:rPr>
          <w:color w:val="555555"/>
          <w:sz w:val="18"/>
        </w:rPr>
        <w:t xml:space="preserve">Satzung für den Bayerischen Naturschutzfonds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Satzung tritt am 1. November 2014 in Kraft. Mit Ablauf des 31. Oktober 2014 tritt die Satzung des Bayerischen Naturschutzfonds vom 14. März 1983 (GVBl S. 251, BayRS 791-1-7-U) außer Kraft.</w:t>
      </w:r>
    </w:p>
    <w:p>
      <w:r>
        <w:rPr>
          <w:color w:val="555555"/>
          <w:sz w:val="17"/>
        </w:rPr>
        <w:t xml:space="preserve">Zitiervorschlag: § 14 BayNatSchFS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https://recht.nulegal.eu/gesetze/BayNatSchFS/14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