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BayNatSchFS (Bayern) — Förderkreis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Personen und Institutionen, die die Stiftung in besonderem Maße fördern, können Mitglieder des Förderkreises der Stiftung werden.</w:t>
      </w:r>
    </w:p>
    <w:p>
      <w:r>
        <w:t xml:space="preserve">(2) Der Förderkreis kann gegenüber den Stiftungsorganen Anregungen zur Erfüllung des Stiftungszwecks geben. Der Vorstand unterrichtet den Förderkreis mindestens einmal jährlich über die Arbeit der Stiftung.</w:t>
      </w:r>
    </w:p>
    <w:p>
      <w:r>
        <w:t xml:space="preserve">(3) Über die Aufnahme in den Förderkreis entscheidet der Stiftungsrat.</w:t>
      </w:r>
    </w:p>
    <w:p>
      <w:r>
        <w:rPr>
          <w:color w:val="555555"/>
          <w:sz w:val="17"/>
        </w:rPr>
        <w:t xml:space="preserve">Zitiervorschlag: § 10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