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BayNatOberpfWV (Bayern) — Besondere Vorschriften</w:t>
      </w:r>
    </w:p>
    <w:p>
      <w:r>
        <w:rPr>
          <w:color w:val="555555"/>
          <w:sz w:val="18"/>
        </w:rPr>
        <w:t xml:space="preserve">Verordnung über den „Naturpark Oberpfälzer Wald“ BayRS 791-5-13-U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Soweit für das Gebiet des Naturparks besondere naturschutzrechtliche Vorschriften bestehen, insbesondere solche über Naturschutzgebiete und Naturdenkmäler, über den Schutz von Landschaftsbestandteilen und Grünbeständen oder über den Schutz von Naß- und Feuchtflächen oder Mager- und Trockenstandorten gemäß Art. 6d Abs. 1 BayNatSchG, bleiben diese unberührt. Gleiches gilt, wenn künftig besondere naturschutzrechtliche Vorschriften erlassen werden.</w:t>
      </w:r>
    </w:p>
    <w:p>
      <w:r>
        <w:rPr>
          <w:color w:val="555555"/>
          <w:sz w:val="17"/>
        </w:rPr>
        <w:t xml:space="preserve">Zitiervorschlag: § 5 BayNatOberpfWV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https://recht.nulegal.eu/gesetze/BayNatOberpfWV/5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