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BayNatOberpfWV (Bayern) — Zuständigkeiten</w:t>
      </w:r>
    </w:p>
    <w:p>
      <w:r>
        <w:rPr>
          <w:color w:val="555555"/>
          <w:sz w:val="18"/>
        </w:rPr>
        <w:t xml:space="preserve">Verordnung über den „Naturpark Oberpfälzer Wald“ BayRS 791-5-13-U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Erteilung der Erlaubnis und der Befreiung ist das Landratsamt Schwandorf als untere Naturschutzbehörde zuständig.</w:t>
      </w:r>
    </w:p>
    <w:p>
      <w:r>
        <w:t xml:space="preserve">(2) Bei Vorhaben der Landesverteidigung und des Zivilschutzes entscheidet über die Befreiung nach Art. 49 Abs. 3 Satz 1 Halbsatz 5 BayNatSchG das Staatsministerium für Landesentwicklung und Umweltfragen als oberste Naturschutzbehörde.</w:t>
      </w:r>
    </w:p>
    <w:p>
      <w:r>
        <w:rPr>
          <w:color w:val="555555"/>
          <w:sz w:val="17"/>
        </w:rPr>
        <w:t xml:space="preserve">Zitiervorschlag: § 11 BayNatOberpfWV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https://recht.nulegal.eu/gesetze/BayNatOberpfWV/11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BayNatOberpfWV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