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BayNatLandAkV (Bayern) — In-Kraft-Treten, Übergangsregelung</w:t>
      </w:r>
    </w:p>
    <w:p>
      <w:r>
        <w:rPr>
          <w:color w:val="555555"/>
          <w:sz w:val="18"/>
        </w:rPr>
        <w:t xml:space="preserve">Verordnung über die Akademie für Naturschutz und Landschaftspflege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1.Juli 1976 in Kraft.</w:t>
      </w:r>
    </w:p>
    <w:p>
      <w:r>
        <w:t xml:space="preserve">(2) (gegenstandslos)</w:t>
      </w:r>
    </w:p>
    <w:p>
      <w:r>
        <w:t xml:space="preserve">[Amtl. Anm.:] Diese Vorschrift betrifft das In-Kraft-Treten der Verordnung in der ursprünglichen Fassung vom 23.Juni 1976 (GVBl S. 262). Der Zeitpunkt des In-Kraft-Tretens der Änderung ergibt sich aus § 2 Abs. 1 der Verordnung zur Änderung der Verordnung über die Akademie für Naturschutz und Landschaftspflege vom 21. November 2000 (GVBl S. 772).</w:t>
      </w:r>
    </w:p>
    <w:p>
      <w:r>
        <w:rPr>
          <w:color w:val="555555"/>
          <w:sz w:val="17"/>
        </w:rPr>
        <w:t xml:space="preserve">Zitiervorschlag: § 9 BayNatLandAkV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https://recht.nulegal.eu/gesetze/BayNatLandAkV/9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