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BayNatLandAkV (Bayern) — Organe</w:t>
      </w:r>
    </w:p>
    <w:p>
      <w:r>
        <w:rPr>
          <w:color w:val="555555"/>
          <w:sz w:val="18"/>
        </w:rPr>
        <w:t xml:space="preserve">Verordnung über die Akademie für Naturschutz und Landschaftspflege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Organe der Akademie sind:</w:t>
      </w:r>
    </w:p>
    <w:p>
      <w:r>
        <w:t xml:space="preserve">1. das Präsidium (§§ 4 und 5),</w:t>
      </w:r>
    </w:p>
    <w:p>
      <w:r>
        <w:t xml:space="preserve">2. der Direktor (§ 6).</w:t>
      </w:r>
    </w:p>
    <w:p>
      <w:r>
        <w:rPr>
          <w:color w:val="555555"/>
          <w:sz w:val="17"/>
        </w:rPr>
        <w:t xml:space="preserve">Zitiervorschlag: § 3 BayNatLandAkV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https://recht.nulegal.eu/gesetze/BayNatLandAkV/3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