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BayNatLandAkV (Bayern) — Aufgaben</w:t>
      </w:r>
    </w:p>
    <w:p>
      <w:r>
        <w:rPr>
          <w:color w:val="555555"/>
          <w:sz w:val="18"/>
        </w:rPr>
        <w:t xml:space="preserve">Verordnung über die Akademie für Naturschutz und Landschaftspflege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Akademie hat die Aufgabe, in Zusammenarbeit mit den Hochschulen, dem Landesamt für Umweltschutz und anderen geeigneten Einrichtungen des In- und Auslands</w:t>
      </w:r>
    </w:p>
    <w:p>
      <w:r>
        <w:t xml:space="preserve">1. a) die Durchführung von grundlagen- und praxisbezogenen Forschungsaufgaben bei den dazu geeigneten wissenschaftlichen Einrichtungen anzuregen und zu unterstützen und dabei insbesondere die Abstimmung von Forschungsvorhaben zu fördern,</w:t>
      </w:r>
    </w:p>
    <w:p>
      <w:r>
        <w:t xml:space="preserve">b) anwendungsorientierte ökologische Forschung zu betreiben;</w:t>
      </w:r>
    </w:p>
    <w:p>
      <w:r>
        <w:t xml:space="preserve">2. a) den Austausch von Erkenntnissen und Erfahrungen zu fördern, insbesondere durch Fachseminare und wissenschaftliche Fachtagungen,</w:t>
      </w:r>
    </w:p>
    <w:p>
      <w:r>
        <w:t xml:space="preserve">b) den neuesten Stand der wissenschaftlichen Erkenntnisse im Bereich Naturschutz und Landschaftspflege zu vermitteln, und zwar durch wissenschaftliche Veröffentlichungen, durch Öffentlichkeitsarbeit, durch Grund- und Fortbildungslehrgänge und durch Fortbildung der mit Aufgaben des Naturschutzes und der Landschaftspflege besonders befassten Personenkreise,</w:t>
      </w:r>
    </w:p>
    <w:p>
      <w:r>
        <w:t xml:space="preserve">c) bei der Aus- und Fortbildung der hauptamtlichen Fachkräfte für Naturschutz und Landschaftspflege und der Angehörigen der Naturschutzwacht sowie sonstiger im Bereich Naturschutz und Landschaftspflege tätiger Personen, insbesondere von Natur- und Landschaftsführern sowie geprüften Natur- und Landschaftspflegern mitzuwirken.</w:t>
      </w:r>
    </w:p>
    <w:p>
      <w:r>
        <w:rPr>
          <w:color w:val="555555"/>
          <w:sz w:val="17"/>
        </w:rPr>
        <w:t xml:space="preserve">Zitiervorschlag: § 2 BayNatLandAkV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https://recht.nulegal.eu/gesetze/BayNatLandAkV/2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