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BayNatLandAkV (Bayern) — Rechtsform</w:t>
      </w:r>
    </w:p>
    <w:p>
      <w:r>
        <w:rPr>
          <w:color w:val="555555"/>
          <w:sz w:val="18"/>
        </w:rPr>
        <w:t xml:space="preserve">Verordnung über die Akademie für Naturschutz und Landschaftspflege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Akademie für Naturschutz und Landschaftspflege ist eine nicht rechtsfähige Anstalt des öffentlichen Rechts mit Sitz in Laufen.</w:t>
      </w:r>
    </w:p>
    <w:p>
      <w:r>
        <w:rPr>
          <w:color w:val="555555"/>
          <w:sz w:val="17"/>
        </w:rPr>
        <w:t xml:space="preserve">Zitiervorschlag: § 1 BayNatLandAkV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https://recht.nulegal.eu/gesetze/BayNatLandAkV/1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