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BayNatFrankSwV (Bayern) — Befreiung</w:t>
      </w:r>
    </w:p>
    <w:p>
      <w:r>
        <w:rPr>
          <w:color w:val="555555"/>
          <w:sz w:val="18"/>
        </w:rPr>
        <w:t xml:space="preserve">Verordnung über den „Naturpark Fränkische Schweiz – Veldensteiner Forst“ BayRS 791-5-14-U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Von den Verboten nach § 6 kann gemäß Art. 49 BayNatSchG im Einzelfall Befreiung erteilt werden.</w:t>
      </w:r>
    </w:p>
    <w:p>
      <w:r>
        <w:rPr>
          <w:color w:val="555555"/>
          <w:sz w:val="17"/>
        </w:rPr>
        <w:t xml:space="preserve">Zitiervorschlag: § 9 BayNatFrankSwV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https://recht.nulegal.eu/gesetze/BayNatFrankSwV/9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