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BayNatBeiVO (Bayern) — Mitwirkungsrecht</w:t>
      </w:r>
    </w:p>
    <w:p>
      <w:r>
        <w:rPr>
          <w:color w:val="555555"/>
          <w:sz w:val="18"/>
        </w:rPr>
        <w:t xml:space="preserve">Verordnung über die Naturschutzbeiräte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Naturschutzbehörde hat dem bei ihr gebildeten Beirat folgende naturschutzrechtliche Entscheidungen vor ihrem Erlass zur Beschlussfassung zu unterbreiten:</w:t>
      </w:r>
    </w:p>
    <w:p>
      <w:r>
        <w:t xml:space="preserve">1. Rechtsverordnungen,</w:t>
      </w:r>
    </w:p>
    <w:p>
      <w:r>
        <w:t xml:space="preserve">2. behördliche Gestattungen und Einzelanordnungen in Angelegenheiten von grundsätzlicher Bedeutung im Bereich der jeweiligen Naturschutzbehörde, ausgenommen Eilfälle,</w:t>
      </w:r>
    </w:p>
    <w:p>
      <w:r>
        <w:t xml:space="preserve">3. Erklärung eines gesetzlich vorgeschriebenen Einvernehmens zu Maßnahmen einer anderen Behörde im Sinn von Nrn. 1 und 2.</w:t>
      </w:r>
    </w:p>
    <w:p>
      <w:r>
        <w:t xml:space="preserve">Eine Stellungnahme des Beirats außerhalb der in Satz 1 genannten Fälle hat nicht die Rechtswirkung gemäß Art. 41 Abs. 2 BayNatSchG.</w:t>
      </w:r>
    </w:p>
    <w:p>
      <w:r>
        <w:t xml:space="preserve">(2) Der Beirat kann für bestimmte Fälle auf sein Mitwirkungsrecht verzichten.</w:t>
      </w:r>
    </w:p>
    <w:p>
      <w:r>
        <w:rPr>
          <w:color w:val="555555"/>
          <w:sz w:val="17"/>
        </w:rPr>
        <w:t xml:space="preserve">Zitiervorschlag: § 6 BayNatBeiVO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https://recht.nulegal.eu/gesetze/BayNatBeiVO/6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