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BayNatBGLV (Bayern)</w:t>
      </w:r>
    </w:p>
    <w:p>
      <w:r>
        <w:rPr>
          <w:color w:val="555555"/>
          <w:sz w:val="18"/>
        </w:rPr>
        <w:t xml:space="preserve">Verordnung über den Alpen- und den Nationalpark Berchtesgaden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8 Abs. 1 Satz 1, Abs. 4 und Art. 45 Abs. 1 Nr. 1 des Bayerischen Naturschutzgesetzes – BayNatSchG – (BayRS 791-1-U) erläßt die Bayerische Staatsregierung, bezüglich der §§ 4 bis 6 mit Zustimmung des Bayerischen Landtags, folgende Verordnung:</w:t>
      </w:r>
    </w:p>
    <w:p>
      <w:r>
        <w:rPr>
          <w:color w:val="555555"/>
          <w:sz w:val="17"/>
        </w:rPr>
        <w:t xml:space="preserve">Zitiervorschlag: Eingangsformel BayNatBGLV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https://recht.nulegal.eu/gesetze/BayNatBGLV/eingangsformel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