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BayNatBGLV (Bayern) — Zweck</w:t>
      </w:r>
    </w:p>
    <w:p>
      <w:r>
        <w:rPr>
          <w:color w:val="555555"/>
          <w:sz w:val="18"/>
        </w:rPr>
        <w:t xml:space="preserve">Verordnung über den Alpen- und den Nationalpark Berchtesgaden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Nationalpark bezweckt</w:t>
      </w:r>
    </w:p>
    <w:p>
      <w:r>
        <w:t xml:space="preserve">1. die gesamte Natur zu schützen,</w:t>
      </w:r>
    </w:p>
    <w:p>
      <w:r>
        <w:t xml:space="preserve">2. die natürlichen und naturnahen Lebensgemeinschaften sowie einen möglichst artenreichen heimischen Tier- und Pflanzenbestand zu erhalten, wissenschaftlich zu beobachten, zu erforschen und, soweit dies bei Wahrung der Eigentumsrechte und bei Erhaltung der Schutzfunktion möglich ist, einer natürlichen Entwicklung zuzuführen,</w:t>
      </w:r>
    </w:p>
    <w:p>
      <w:r>
        <w:t xml:space="preserve">3. das Gebiet der Bevölkerung zu Bildungs- und Erholungszwecken zu erschließen, soweit es der Schutzzweck erlaubt.</w:t>
      </w:r>
    </w:p>
    <w:p>
      <w:r>
        <w:t xml:space="preserve">(2) Der Nationalpark bezweckt keine wirtschaftsbestimmte Nutzung.</w:t>
      </w:r>
    </w:p>
    <w:p>
      <w:r>
        <w:rPr>
          <w:color w:val="555555"/>
          <w:sz w:val="17"/>
        </w:rPr>
        <w:t xml:space="preserve">Zitiervorschlag: § 6 BayNatBGLV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https://recht.nulegal.eu/gesetze/BayNatBGLV/6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