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BayNatBGLV (Bayern) — Inkrafttreten</w:t>
      </w:r>
    </w:p>
    <w:p>
      <w:r>
        <w:rPr>
          <w:color w:val="555555"/>
          <w:sz w:val="18"/>
        </w:rPr>
        <w:t xml:space="preserve">Verordnung über den Alpen- und den Nationalpark Berchtesgaden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August 1978 in Kraft.</w:t>
      </w:r>
    </w:p>
    <w:p>
      <w:r>
        <w:t xml:space="preserve">[Amtl. Anm.:] Diese Vorschrift betrifft das Inkrafttreten der Verordnung in der ursprünglichen Fassung vom 18. Juli 1978 (GVBl S. 499).</w:t>
      </w:r>
    </w:p>
    <w:p>
      <w:r>
        <w:rPr>
          <w:color w:val="555555"/>
          <w:sz w:val="17"/>
        </w:rPr>
        <w:t xml:space="preserve">Zitiervorschlag: § 18 BayNatBGLV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https://recht.nulegal.eu/gesetze/BayNatBGLV/18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