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BayNatBGLV (Bayern) — Befreiungen</w:t>
      </w:r>
    </w:p>
    <w:p>
      <w:r>
        <w:rPr>
          <w:color w:val="555555"/>
          <w:sz w:val="18"/>
        </w:rPr>
        <w:t xml:space="preserve">Verordnung über den Alpen- und den Nationalpark Berchtesgaden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Von den Verboten des § 9 kann gemäß § 67 Abs. 1 BNatSchG im Einzelfall Befreiung erteilt werden, wenn</w:t>
      </w:r>
    </w:p>
    <w:p>
      <w:r>
        <w:t xml:space="preserve">1. dies aus Gründen des überwiegenden öffentlichen Interesses, einschließlich solcher sozialer und wirtschaftlicher Art, notwendig ist oder</w:t>
      </w:r>
    </w:p>
    <w:p>
      <w:r>
        <w:t xml:space="preserve">2. die Durchführung der Vorschriften im Einzelfall zu einer unzumutbaren Belastung führen würde und die Abweichung mit den Belangen von Naturschutz und Landschaftspflege vereinbar ist.</w:t>
      </w:r>
    </w:p>
    <w:p>
      <w:r>
        <w:t xml:space="preserve">Die Befreiung kann unter Auflagen, unter Bedingungen oder befristet erteilt werden. Zur Gewährleistung der Erfüllung dieser Nebenbestimmungen kann eine angemessene Sicherheitsleistung gefordert werden. Für Vorhaben im Sinn des § 7 Abs. 1 soll eine Befreiung erteilt werden, soweit der Zweck des Nationalparks (§ 6) nicht entgegensteht.</w:t>
      </w:r>
    </w:p>
    <w:p>
      <w:r>
        <w:t xml:space="preserve">(2) Zuständig zur Erteilung der Befreiung ist in den Fällen des § 9 Abs. 1 Nrn. 1, 2 und 4 und Abs. 3 Nrn. 4 und 5 sowie bei Vorhaben der Landesverteidigung und des Zivilschutzes die oberste Naturschutzbehörde, in den übrigen Fällen die untere Naturschutzbehörde.</w:t>
      </w:r>
    </w:p>
    <w:p>
      <w:r>
        <w:rPr>
          <w:color w:val="555555"/>
          <w:sz w:val="17"/>
        </w:rPr>
        <w:t xml:space="preserve">Zitiervorschlag: § 12 BayNatBGLV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https://recht.nulegal.eu/gesetze/BayNatBGLV/12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