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BayNatAltmV (Bayern)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11, 45 Abs. 1 Nr. 2, Art. 55 Abs. 1 Satz 2 in Verbindung mit Art. 45 Abs. 2 Satz 3 Halbsatz 2 und Art. 37 Abs. 2 Nr. 1 des Bayerischen Naturschutzgesetzes – BayNatSchG – (BayRS 791-1-U), zuletzt geändert durch Gesetz vom 28. April 1994 (GVBl S. 299),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