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BayNatAltmV (Bayern) — Erlaubnis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Erlaubnis bedarf, wer beabsichtigt, innerhalb der Schutzzone</w:t>
      </w:r>
    </w:p>
    <w:p>
      <w:r>
        <w:t xml:space="preserve">1. bauliche Anlagen aller Art im Sinn der Bayerischen Bauordnung (BayBO) zu errichten, zu erweitern oder ihre äußere Gestaltung wesentlich zu ändern, auch wenn sie einer baurechtlichen Genehmigung nicht bedürfen; hierzu zählen insbesondere</w:t>
      </w:r>
    </w:p>
    <w:p>
      <w:r>
        <w:t xml:space="preserve">a) Gebäude aller Art (Art. 2 Abs. 2 BayBO), Verkaufs- und Ausstellungsstände, Automaten,</w:t>
      </w:r>
    </w:p>
    <w:p>
      <w:r>
        <w:t xml:space="preserve">b) Einfriedungen aller Art (ausgenommen sockellose Weide- und Forstkulturzäune ohne Verwendung von Beton),</w:t>
      </w:r>
    </w:p>
    <w:p>
      <w:r>
        <w:t xml:space="preserve">2. die bisherige Bodengestalt durch Aufschüttungen, Abgrabungen oder in sonstiger Weise wesentlich zu verändern, soweit das Vorhaben nicht unter das Verbot des § 6 Abs. 2 Nr. 2 fällt,</w:t>
      </w:r>
    </w:p>
    <w:p>
      <w:r>
        <w:t xml:space="preserve">3. Straßen, Wege, Plätze oder Park-, Camping-, Sport-, Spiel- oder Badeplätze oder ähnliche Einrichtungen zu errichten oder wesentlich zu ändern,</w:t>
      </w:r>
    </w:p>
    <w:p>
      <w:r>
        <w:t xml:space="preserve">4. Maßnahmen vorzunehmen, die Röhrichte, Quellbereiche, naturnahe und unverbaute Bach- und Flußabschnitte oder Auwälder gemäß § 20c Abs. 1 Nrn. 1 und 3 BNatSchG zerstören, beschädigen, nachhaltig stören oder deren charakteristischen Zustand verändern können, soweit das Vorhaben nicht unter das Verbot des § 6 Abs. 2 Nr. 1 fällt,</w:t>
      </w:r>
    </w:p>
    <w:p>
      <w:r>
        <w:t xml:space="preserve">5. Gewässer, deren Ufer, den Zulauf oder den Ablauf des Wassers oder den Grundwasserstand zu verändern oder neue Gewässer herzustellen,</w:t>
      </w:r>
    </w:p>
    <w:p>
      <w:r>
        <w:t xml:space="preserve">6. Naß- und Feuchtwiesen umzubrechen oder durch Dränung oder Gräben zu entwässern oder trockenzulegen,</w:t>
      </w:r>
    </w:p>
    <w:p>
      <w:r>
        <w:t xml:space="preserve">7. Dauergrünland der Talsohlen in Ackerland umzuwandeln,</w:t>
      </w:r>
    </w:p>
    <w:p>
      <w:r>
        <w:t xml:space="preserve">8. landschaftsbestimmende Bäume, Hecken oder sonstige Gehölze außerhalb des Waldes oder Felsblöcke zu beseitigen,</w:t>
      </w:r>
    </w:p>
    <w:p>
      <w:r>
        <w:t xml:space="preserve">9. auf den Taleinhängen und Talsohlen der in Anlage 2 zu dieser Verordnung bezeichneten Tallandschaften Erstaufforstungen vorzunehmen,</w:t>
      </w:r>
    </w:p>
    <w:p>
      <w:r>
        <w:t xml:space="preserve">10. ober- oder unterirdisch geführte Draht-, Kabel- oder Rohrleitungen zu verlegen oder Masten und Unterstützungen aufzustellen (ausgenommen nicht ortsfeste Anlagen zur Beregnung von Sonderkulturen und zur Versorgung von Weidevieh mit Wasser und Zuleitungen zu elektrischen Weidezäunen),</w:t>
      </w:r>
    </w:p>
    <w:p>
      <w:r>
        <w:t xml:space="preserve">11. außerhalb von Straßen, Wegen oder Plätzen mit Kraftfahrzeugen aller Art zu fahren, diese dort abzustellen oder Verkaufswagen aufzustellen (ausgenommen zur land- und forstwirtschaftlichen Bewirtschaftung sowie für Fischereiberechtigte oder Fischereipächter, die zur Ausübung des Fischereirechts unmittelbar selbst befugt sind, und für Inhaber von Jahreserlaubnisscheinen),</w:t>
      </w:r>
    </w:p>
    <w:p>
      <w:r>
        <w:t xml:space="preserve">12. auf anderen als den hierfür behördlich zugelassenen Plätzen zu zelten, Wohnwagen abzustellen, dies zu gestatten oder im Rahmen der Erholungsnutzung offene Feuer zu entzünden oder zu unterhalten.</w:t>
      </w:r>
    </w:p>
    <w:p>
      <w:r>
        <w:t xml:space="preserve">(2) Die Erlaubnis ist zu erteilen, wenn das Vorhaben keine der in § 6 Abs. 1 genannten Wirkungen hervorrufen kann oder diese Wirkungen durch Nebenbestimmungen ausgeglichen werden können. Wird die Erlaubnis mit Nebenbestimmungen erteilt, kann eine Sicherheitsleistung verlangt werden. Die Vorschrift des Art. 6a Abs. 3 BayNatSchG über Ersatzmaßnahmen ist entsprechend anzuwenden.</w:t>
      </w:r>
    </w:p>
    <w:p>
      <w:r>
        <w:t xml:space="preserve">(3) Andere Fachbehörden sind zu beteiligen, soweit deren Belange berührt sind.</w:t>
      </w:r>
    </w:p>
    <w:p>
      <w:r>
        <w:t xml:space="preserve">(4) Soweit Entscheidungen über Erlaubnisse oder Befreiungen für Pflegemaßnahmen oder für eine ordnungsgemäße land-, forst- oder fischereiwirtschaftliche Bodennutzung erforderlich werden, werden Kosten gemäß Art. 54 Abs. 2 BayNatSchG nicht erhoben.</w:t>
      </w:r>
    </w:p>
    <w:p>
      <w:r>
        <w:rPr>
          <w:color w:val="555555"/>
          <w:sz w:val="17"/>
        </w:rPr>
        <w:t xml:space="preserve">Zitiervorschlag: § 7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