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BayNatAltmV (Bayern) — Schutzzweck</w:t>
      </w:r>
    </w:p>
    <w:p>
      <w:r>
        <w:rPr>
          <w:color w:val="555555"/>
          <w:sz w:val="18"/>
        </w:rPr>
        <w:t xml:space="preserve">Verordnung über den „Naturpark Altmühltal (Südliche Frankenalb)“ BayRS 791-5-15-U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Zweck der Festsetzung des Naturparks ist es,</w:t>
      </w:r>
    </w:p>
    <w:p>
      <w:r>
        <w:t xml:space="preserve">1. das Gebiet entsprechend dem Pflege- und Entwicklungsplan (§ 12 Nr. 1) zu sichern, zu pflegen und zu entwickeln,</w:t>
      </w:r>
    </w:p>
    <w:p>
      <w:r>
        <w:t xml:space="preserve">2. die Erholungseignung der Teillandschaften auf der Basis eines ausgewogenen Naturhaushalts und der landschaftlichen Vielfalt zu erhalten bzw. wiederherzustellen und zu verbessern,</w:t>
      </w:r>
    </w:p>
    <w:p>
      <w:r>
        <w:t xml:space="preserve">3. geeignete Landschaftsteile für die Erholung und den Naturgenuß zu erschließen und der Allgemeinheit zugänglich zu machen, soweit die Belastbarkeit des Naturhaushalts und des Landschaftsbilds dies zulassen,</w:t>
      </w:r>
    </w:p>
    <w:p>
      <w:r>
        <w:t xml:space="preserve">4. den Erholungsverkehr zu ordnen und zu lenken,</w:t>
      </w:r>
    </w:p>
    <w:p>
      <w:r>
        <w:t xml:space="preserve">5. an der Erhaltung und Fortentwicklung der Land-, Forst- und Fischereiwirtschaft als Träger der Kulturlandschaft unter Beachtung der Belange des Naturschutzes und der Landschaftspflege mitzuwirken.</w:t>
      </w:r>
    </w:p>
    <w:p>
      <w:r>
        <w:t xml:space="preserve">(2) Zweck der Schutzzone ist es,</w:t>
      </w:r>
    </w:p>
    <w:p>
      <w:r>
        <w:t xml:space="preserve">1. die Funktionsfähigkeit des Naturhaushalts der unterschiedlich strukturierten Teillandschaften insgesamt zu erhalten bzw. wiederherzustellen und zu verbessern,</w:t>
      </w:r>
    </w:p>
    <w:p>
      <w:r>
        <w:t xml:space="preserve">2. das ökologische Wirkungsgefüge der Tallandschaften zu erhalten bzw. wiederherzustellen und zu verbessern,</w:t>
      </w:r>
    </w:p>
    <w:p>
      <w:r>
        <w:t xml:space="preserve">3. die Vielfalt, Eigenart und Schönheit der Teillandschaften mit ihrem jeweils typischen Erscheinungsbild zu sichern,</w:t>
      </w:r>
    </w:p>
    <w:p>
      <w:r>
        <w:t xml:space="preserve">4. eingetretene Schäden möglichst zu beheben oder auszugleichen,</w:t>
      </w:r>
    </w:p>
    <w:p>
      <w:r>
        <w:t xml:space="preserve">5. die Vielfalt an wildwachsenden Pflanzen und wildlebenden Tieren sowie deren Lebensgemeinschaften zu sichern,</w:t>
      </w:r>
    </w:p>
    <w:p>
      <w:r>
        <w:t xml:space="preserve">6. erhebliche oder nachhaltige Beeinträchtigungen von Natur und Landschaft zu verhindern,</w:t>
      </w:r>
    </w:p>
    <w:p>
      <w:r>
        <w:t xml:space="preserve">7. die in den Anlagen 1 und 2 zu Art. 6d Abs. 1 BayNatSchG oder in § 20c Abs. 1 Nrn. 1 bis 3 Bundesnaturschutzgesetz (BNatSchG) bezeichneten ökologisch besonders wertvollen Naß- und Feuchtflächen oder Mager- und Trockenstandorte zu sichern,</w:t>
      </w:r>
    </w:p>
    <w:p>
      <w:r>
        <w:t xml:space="preserve">8. ökologisch wertvolle Lebensräume gegen übermäßige Freizeitnutzung zu sichern.</w:t>
      </w:r>
    </w:p>
    <w:p>
      <w:r>
        <w:rPr>
          <w:color w:val="555555"/>
          <w:sz w:val="17"/>
        </w:rPr>
        <w:t xml:space="preserve">Zitiervorschlag: § 4 BayNatAltmV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https://recht.nulegal.eu/gesetze/BayNatAltmV/4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