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BayNatAltmV (Bayern) — Einteilung des Gebiets</w:t>
      </w:r>
    </w:p>
    <w:p>
      <w:r>
        <w:rPr>
          <w:color w:val="555555"/>
          <w:sz w:val="18"/>
        </w:rPr>
        <w:t xml:space="preserve">Verordnung über den „Naturpark Altmühltal (Südliche Frankenalb)“ BayRS 791-5-15-U [Stand: 1.9.1998]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Innerhalb des Naturparks wird eine Schutzzone festgesetzt, die die Voraussetzungen eines Landschaftsschutzgebiets erfüllt. Ihre Grenzen sind in der in § 2 Abs. 1 genannten Anlage 1 grob dargestellt.</w:t>
      </w:r>
    </w:p>
    <w:p>
      <w:r>
        <w:t xml:space="preserve">(2) Die genauen Grenzen der Schutzzone sind in der in § 2 Abs. 2 genannten Karte eingetragen, auf die Bezug genommen wird. Maßgebend für den genauen Grenzverlauf ist der Eintrag in dieser Karte mit der Außenkante des jeweiligen Begrenzungsstrichs.</w:t>
      </w:r>
    </w:p>
    <w:p>
      <w:r>
        <w:rPr>
          <w:color w:val="555555"/>
          <w:sz w:val="17"/>
        </w:rPr>
        <w:t xml:space="preserve">Zitiervorschlag: § 3 BayNatAltmV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https://recht.nulegal.eu/gesetze/BayNatAltmV/3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