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BayNatAltmV (Bayern) — Inkrafttreten, Aufhebung früherer Vorschriften</w:t>
      </w:r>
    </w:p>
    <w:p>
      <w:r>
        <w:rPr>
          <w:color w:val="555555"/>
          <w:sz w:val="18"/>
        </w:rPr>
        <w:t xml:space="preserve">Verordnung über den „Naturpark Altmühltal (Südliche Frankenalb)“ BayRS 791-5-15-U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Oktober 1995 in Kraft.</w:t>
      </w:r>
    </w:p>
    <w:p>
      <w:r>
        <w:t xml:space="preserve">(2) Gleichzeitig treten alle Vorschriften außer Kraft, die dieser Verordnung entgegenstehen oder entsprechen. Insbesondere treten außer Kraft:</w:t>
      </w:r>
    </w:p>
    <w:p>
      <w:r>
        <w:t xml:space="preserve">1. Die Anordnung zum Schutze von Landschaftsteilen im Landkreis Hilpoltstein vom 1. März 1955 (KABl Nr. 8) – nunmehr in den Landkreisen Eichstätt (Regierungsbezirk Oberbayern), Neumarkt i. d. OPf. (Regierungsbezirk Oberpfalz), Roth und Weißenburg-Gunzenhausen (Regierungsbezirk Mittelfranken);</w:t>
      </w:r>
    </w:p>
    <w:p>
      <w:r>
        <w:t xml:space="preserve">2. die Kreisverordnung zum Schutze von Landschaftsteilen im Landkreis Riedenburg vom 18. Oktober 1961 (KABl Nr. 38), geändert durch Verordnung vom 8. Juni 1972 (KABl Nr. 24) – nunmehr in den Landkreisen Eichstätt (Regierungsbezirk Oberbayern), Kelheim (Regierungsbezirk Niederbayern) und Neumarkt i. d. OPf. (Regierungsbezirk Oberpfalz).</w:t>
      </w:r>
    </w:p>
    <w:p>
      <w:r>
        <w:rPr>
          <w:color w:val="555555"/>
          <w:sz w:val="17"/>
        </w:rPr>
        <w:t xml:space="preserve">Zitiervorschlag: § 14 BayNatAltmV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https://recht.nulegal.eu/gesetze/BayNatAltmV/14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