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BayNat2000V (Bayern) — Inkrafttreten</w:t>
      </w:r>
    </w:p>
    <w:p>
      <w:r>
        <w:rPr>
          <w:color w:val="555555"/>
          <w:sz w:val="18"/>
        </w:rPr>
        <w:t xml:space="preserve">Bayerische Natura 2000-Verordnung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2006 in Kraft.</w:t>
      </w:r>
    </w:p>
    <w:p>
      <w:r>
        <w:rPr>
          <w:color w:val="555555"/>
          <w:sz w:val="17"/>
        </w:rPr>
        <w:t xml:space="preserve">Zitiervorschlag: § 5 BayNat2000V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https://recht.nulegal.eu/gesetze/BayNat2000V/5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