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BayNat2000V (Bayern) — Managementplanung</w:t>
      </w:r>
    </w:p>
    <w:p>
      <w:r>
        <w:rPr>
          <w:color w:val="555555"/>
          <w:sz w:val="18"/>
        </w:rPr>
        <w:t xml:space="preserve">Bayerische Natura 2000-Verordnung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Natura 2 000-Gebiete werden Managementpläne gemäß § 32 Abs. 5 BNatSchG erstellt. In ihrem Grundlagenteil werden Angaben zu Vorkommen, Habitaten und Erhaltungszuständen der Lebensraumtypen, Lebensräume und Arten aufgenommen. In ihrem Maßnahmenteil werden die erforderlichen Maßnahmen für die Erhaltung oder Wiederherstellung eines günstigen Erhaltungszustands festgelegt.</w:t>
      </w:r>
    </w:p>
    <w:p>
      <w:r>
        <w:t xml:space="preserve">(2) Die Managementpläne werden unter Beteiligung der Betroffenen erstellt und bei Bedarf fortgeschrieben. Für private Grundeigentümer und Nutzungsberechtigte begründen die Managementpläne keine Verpflichtungen. Das Verschlechterungsverbot nach den §§ 33 und 34 BNatSchG bleibt unberührt.</w:t>
      </w:r>
    </w:p>
    <w:p>
      <w:r>
        <w:rPr>
          <w:color w:val="555555"/>
          <w:sz w:val="17"/>
        </w:rPr>
        <w:t xml:space="preserve">Zitiervorschlag: § 4 BayNat2000V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https://recht.nulegal.eu/gesetze/BayNat2000V/4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