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BayNat2000V (Bayern) — Erhaltungsziele</w:t>
      </w:r>
    </w:p>
    <w:p>
      <w:r>
        <w:rPr>
          <w:color w:val="555555"/>
          <w:sz w:val="18"/>
        </w:rPr>
        <w:t xml:space="preserve">Bayerische Natura 2000-Verordnung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Hinsichtlich der zu erhaltenden Arten und natürlichen Lebensraumtypen von gemeinschaftlichem Interesse werden in der Anlage 1a für die FFH-Gebiete und in der Anlage 2a für die Vogelschutzgebiete jeweils die zugehörigen Erhaltungsziele nach § 7 Abs. 1 Nr. 9 des Bundesnaturschutzgesetzes (BNatSchG) festgelegt.</w:t>
      </w:r>
    </w:p>
    <w:p>
      <w:r>
        <w:t xml:space="preserve">(2) Der Erhaltungszustand eines natürlichen Lebensraums umfasst die Gesamtheit der Einwirkungen, die den betreffenden Lebensraum und die darin vorkommenden charakteristischen Arten beeinflussen und die sich langfristig auf seine natürliche Verbreitung, seine Struktur und seine Funktionen sowie das Überleben seiner charakteristischen Arten auswirken können. Er wird als günstig erachtet, wenn</w:t>
      </w:r>
    </w:p>
    <w:p>
      <w:r>
        <w:t xml:space="preserve">1. sein natürliches Verbreitungsgebiet sowie die von ihm eingenommenen Flächen beständig sind oder sich ausdehnen,</w:t>
      </w:r>
    </w:p>
    <w:p>
      <w:r>
        <w:t xml:space="preserve">2. die für seinen langfristigen Fortbestand notwendige Struktur und spezifischen Funktionen bestehen und in absehbarer Zukunft wahrscheinlich weiterbestehen werden und</w:t>
      </w:r>
    </w:p>
    <w:p>
      <w:r>
        <w:t xml:space="preserve">3. der Erhaltungszustand der für ihn charakteristischen Arten im Sinne des Abs. 3 Satz 2 günstig ist.</w:t>
      </w:r>
    </w:p>
    <w:p>
      <w:r>
        <w:t xml:space="preserve">(3) Der Erhaltungszustand einer Art umfasst die Gesamtheit der Einflüsse, die sich langfristig auf die Verbreitung und die Größe der Populationen der betreffenden Arten auswirken können. Er wird als günstig betrachtet, wenn</w:t>
      </w:r>
    </w:p>
    <w:p>
      <w:r>
        <w:t xml:space="preserve">1. auf Grund der Daten über die Populationsdynamik der Art anzunehmen ist, dass sie ein lebensfähiges Element ihres natürlichen Lebensraums bildet und langfristig weiterhin bilden wird,</w:t>
      </w:r>
    </w:p>
    <w:p>
      <w:r>
        <w:t xml:space="preserve">2. das natürliche Verbreitungsgebiet dieser Art weder abnimmt noch in absehbarer Zeit vermutlich abnehmen wird und</w:t>
      </w:r>
    </w:p>
    <w:p>
      <w:r>
        <w:t xml:space="preserve">3. ein genügend großer Lebensraum vorhanden ist und wahrscheinlich weiterhin vorhanden sein wird, um langfristig ein Überleben der Populationen dieser Art zu sichern.</w:t>
      </w:r>
    </w:p>
    <w:p>
      <w:r>
        <w:t xml:space="preserve">(4) Die oberste Naturschutzbehörde kann durch Vollzugshinweise im Einvernehmen mit den Staatsministerien für Wohnen, Bau und Verkehr und für Ernährung, Landwirtschaft, Forsten und Tourismus die Erhaltungsziele nach Abs. 1 gebietsbezogen näher konkretisieren. Die Vollzugshinweise dienen als Arbeitshilfe für die Erstellung von Managementplänen gemäß § 4. Die Ergebnisse der Managementplanung werden im Rahmen der regelmäßigen Aktualisierung der Vollzugshinweise berücksichtigt.</w:t>
      </w:r>
    </w:p>
    <w:p>
      <w:r>
        <w:rPr>
          <w:color w:val="555555"/>
          <w:sz w:val="17"/>
        </w:rPr>
        <w:t xml:space="preserve">Zitiervorschlag: § 3 BayNat2000V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https://recht.nulegal.eu/gesetze/BayNat2000V/3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