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BayNat2000V (Bayern) — Natura 2 000-Gebiete</w:t>
      </w:r>
    </w:p>
    <w:p>
      <w:r>
        <w:rPr>
          <w:color w:val="555555"/>
          <w:sz w:val="18"/>
        </w:rPr>
        <w:t xml:space="preserve">Bayerische Natura 2000-Verordnung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Bayern werden folgende Natura 2 000-Gebiete festgelegt:</w:t>
      </w:r>
    </w:p>
    <w:p>
      <w:r>
        <w:t xml:space="preserve">1. Gebiete von gemeinschaftlicher Bedeutung (FFH-Gebiete) gemäß Anlage 1 einschließlich der jeweiligen Erhaltungsziele gemäß Anlage 1a ,</w:t>
      </w:r>
    </w:p>
    <w:p>
      <w:r>
        <w:t xml:space="preserve">2. Europäische Vogelschutzgebiete (Vogelschutzgebiete) gemäß Anlage 2 einschließlich der jeweiligen Erhaltungsziele gemäß Anlage 2a .</w:t>
      </w:r>
    </w:p>
    <w:p>
      <w:r>
        <w:rPr>
          <w:color w:val="555555"/>
          <w:sz w:val="17"/>
        </w:rPr>
        <w:t xml:space="preserve">Zitiervorschlag: § 1 BayNat2000V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https://recht.nulegal.eu/gesetze/BayNat2000V/1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