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BayNachRohTechV (Bayern)</w:t>
      </w:r>
    </w:p>
    <w:p>
      <w:r>
        <w:rPr>
          <w:color w:val="555555"/>
          <w:sz w:val="18"/>
        </w:rPr>
        <w:t xml:space="preserve">Verordnung über das Technologie- und Förderzentrum im Kompetenzzentrum für Nachwachsende Rohstoffe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16. November 2001</w:t>
      </w:r>
    </w:p>
    <w:p>
      <w:r>
        <w:t xml:space="preserve">Bayerisches Staatsministerium</w:t>
      </w:r>
    </w:p>
    <w:p>
      <w:r>
        <w:t xml:space="preserve">für Landwirtschaft und Forsten</w:t>
      </w:r>
    </w:p>
    <w:p>
      <w:r>
        <w:t xml:space="preserve">Josef Miller, Staatsminister</w:t>
      </w:r>
    </w:p>
    <w:p>
      <w:r>
        <w:rPr>
          <w:color w:val="555555"/>
          <w:sz w:val="17"/>
        </w:rPr>
        <w:t xml:space="preserve">Zitiervorschlag: Schlussformel BayNachRohTechV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https://recht.nulegal.eu/gesetze/BayNachRohTechV/schlussformel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