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BayNachRohTechV (Bayern)</w:t>
      </w:r>
    </w:p>
    <w:p>
      <w:r>
        <w:rPr>
          <w:color w:val="555555"/>
          <w:sz w:val="18"/>
        </w:rPr>
        <w:t xml:space="preserve">Verordnung über das Technologie- und Förderzentrum im Kompetenzzentrum für Nachwachsende Rohstoffe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Januar 2002 in Kraft.</w:t>
      </w:r>
    </w:p>
    <w:p>
      <w:r>
        <w:rPr>
          <w:color w:val="555555"/>
          <w:sz w:val="17"/>
        </w:rPr>
        <w:t xml:space="preserve">Zitiervorschlag: § 4 BayNachRohTechV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https://recht.nulegal.eu/gesetze/BayNachRohTechV/4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