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BayNachRohTechV (Bayern)</w:t>
      </w:r>
    </w:p>
    <w:p>
      <w:r>
        <w:rPr>
          <w:color w:val="555555"/>
          <w:sz w:val="18"/>
        </w:rPr>
        <w:t xml:space="preserve">Verordnung über das Technologie- und Förderzentrum im Kompetenzzentrum für Nachwachsende Rohstoffe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Technologie- und Förderzentrum im Kompetenzzentrum für Nachwachsende Rohstoffe ist eine dem Staatsministerium für Ernährung, Landwirtschaft, Forsten und Tourismus (Staatsministerium) unmittelbar nachgeordnete Behörde mit Sitz in Straubing.</w:t>
      </w:r>
    </w:p>
    <w:p>
      <w:r>
        <w:t xml:space="preserve">(2) Das Dienstgebiet des Technologie- und Förderzentrums umfasst den Freistaat Bayern.</w:t>
      </w:r>
    </w:p>
    <w:p>
      <w:r>
        <w:rPr>
          <w:color w:val="555555"/>
          <w:sz w:val="17"/>
        </w:rPr>
        <w:t xml:space="preserve">Zitiervorschlag: § 1 BayNachRohTechV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https://recht.nulegal.eu/gesetze/BayNachRohTechV/1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