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BayNV (Bayern)</w:t>
      </w:r>
    </w:p>
    <w:p>
      <w:r>
        <w:rPr>
          <w:color w:val="555555"/>
          <w:sz w:val="18"/>
        </w:rPr>
        <w:t xml:space="preserve">Bayerische Nebentätigkeitsverordnung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77 Abs. 1 des Bayerischen Beamtengesetzes (BayBG) und Art. 43 Abs. 3 des Gesetzes über kommunale Wahlbeamte erläßt die Bayerische Staatsregierung folgende Verordnung:</w:t>
      </w:r>
    </w:p>
    <w:p>
      <w:r>
        <w:rPr>
          <w:color w:val="555555"/>
          <w:sz w:val="17"/>
        </w:rPr>
        <w:t xml:space="preserve">Zitiervorschlag: Eingangsformel BayNV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