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BayNV (Bayern) — Ausnahmen von §§ 9 und 10</w:t>
      </w:r>
    </w:p>
    <w:p>
      <w:r>
        <w:rPr>
          <w:color w:val="555555"/>
          <w:sz w:val="18"/>
        </w:rPr>
        <w:t xml:space="preserve">Bayerische 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§ 9 Abs. 1 und 3 und § 10 sind nicht anzuwenden auf Vergütungen für</w:t>
      </w:r>
    </w:p>
    <w:p>
      <w:r>
        <w:t xml:space="preserve">1. eine Lehr- oder Unterrichtstätigkeit,</w:t>
      </w:r>
    </w:p>
    <w:p>
      <w:r>
        <w:t xml:space="preserve">2. eine Mitwirkung bei Prüfungen,</w:t>
      </w:r>
    </w:p>
    <w:p>
      <w:r>
        <w:t xml:space="preserve">3. eine schriftstellerische, wissenschaftliche oder künstlerische Tätigkeit oder eine Vortragstätigkeit,</w:t>
      </w:r>
    </w:p>
    <w:p>
      <w:r>
        <w:t xml:space="preserve">4. Tätigkeiten auf dem Gebiet der wissenschaftlichen Forschung,</w:t>
      </w:r>
    </w:p>
    <w:p>
      <w:r>
        <w:t xml:space="preserve">5. eine mit Lehr- oder Forschungsaufgaben zusammenhängende selbständige Gutachtertätigkeit von Beamten an öffentlichen Hochschulen, wissenschaftlichen Instituten und Anstalten, die nicht unter § 1 Satz 3 fallen,</w:t>
      </w:r>
    </w:p>
    <w:p>
      <w:r>
        <w:t xml:space="preserve">6. Tätigkeiten als gerichtlicher oder staatsanwaltschaftlicher Sachverständiger,</w:t>
      </w:r>
    </w:p>
    <w:p>
      <w:r>
        <w:t xml:space="preserve">7. Gutachtertätigkeiten von Ärzten, Zahnärzten oder Tierärzten für Versicherungsträger oder für andere juristische Personen des öffentlichen Rechts,</w:t>
      </w:r>
    </w:p>
    <w:p>
      <w:r>
        <w:t xml:space="preserve">8. ärztliche, zahnärztliche oder tierärztliche Verrichtungen der in Nr. 7 genannten Personen, für die nach den Gebührenordnungen Gebühren zu zahlen sind,</w:t>
      </w:r>
    </w:p>
    <w:p>
      <w:r>
        <w:t xml:space="preserve">9. Arbeitnehmererfindungen,</w:t>
      </w:r>
    </w:p>
    <w:p>
      <w:r>
        <w:t xml:space="preserve">10. Tätigkeiten, die ausschließlich während eines unter Fortfall der Dienstbezüge gewährten Urlaubs von mehr als drei Monaten oder in besonderen Ausnahmefällen von mehr als einem Monat ausgeübt werden,</w:t>
      </w:r>
    </w:p>
    <w:p>
      <w:r>
        <w:t xml:space="preserve">11. Tätigkeiten, die zur Aufrechterhaltung des Dienstbetriebs oder im öffentlichen Interesse notwendig sind, soweit die oberste Dienstbehörde eine Ausnahme von der Ablieferungspflicht für erforderlich hält.</w:t>
      </w:r>
    </w:p>
    <w:p>
      <w:r>
        <w:t xml:space="preserve">(2) § 9 Abs. 1 und 3 und § 10 Abs. 1 Satz 1 sind auf kommunale Wahlbeamte auf Zeit, die Vorsitzende des Verwaltungsrats einer Sparkasse oder Stellvertreter des Vorsitzenden sind, mit folgenden Maßgaben anzuwenden:</w:t>
      </w:r>
    </w:p>
    <w:p>
      <w:r>
        <w:t xml:space="preserve">1. Der Höchstbetrag nach § 9 Abs. 3 verdreifacht sich für die Vergütung des Vorsitzenden und verdoppelt sich für die Vergütung des Stellvertreters;</w:t>
      </w:r>
    </w:p>
    <w:p>
      <w:r>
        <w:t xml:space="preserve">2. Vergütungen sind nach § 10 Abs. 1 Satz 1 insoweit abzuliefern, als sie den Höchstbetrag nach Nr. 1 übersteigen.</w:t>
      </w:r>
    </w:p>
    <w:p>
      <w:r>
        <w:rPr>
          <w:color w:val="555555"/>
          <w:sz w:val="17"/>
        </w:rPr>
        <w:t xml:space="preserve">Zitiervorschlag: § 11 BayNV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