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BayNParkV1989_659 (Bayern) — Inkrafttreten, Aufhebung früherer Vorschriften</w:t>
      </w:r>
    </w:p>
    <w:p>
      <w:r>
        <w:rPr>
          <w:color w:val="555555"/>
          <w:sz w:val="18"/>
        </w:rPr>
        <w:t xml:space="preserve">Verordnung über den „Naturpark Oberer Bayerischer Wald“ BayRS 791-5-11-U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 Verordnung tritt am 1. Dezember 1989 in Kraft.</w:t>
      </w:r>
    </w:p>
    <w:p>
      <w:r>
        <w:t xml:space="preserve">(2) Gleichzeitig tritt die</w:t>
      </w:r>
    </w:p>
    <w:p>
      <w:r>
        <w:t xml:space="preserve">Verordnung des Bezirks Niederbayern über den Schutz von Landschaftsteilen im Bayerischen Wald in den Landkreisen Kötzting, Viechtach, Regen, Grafenau und Wolfstein (Großräumiges Landschaftsschutzgebiet „Innerer Bayerischer Wald“) vom 27. November 1967 (RABl NB 1968 Nr. 7 – nunmehr im Landkreis Cham (Regierungsbezirk Oberpfalz) und in den Landkreisen Freyung-Grafenau und Regen (Regierungsbezirk Niederbayern) –, zuletzt geändert durch Verordnung vom 16. September 1986 (GVBl S. 328, BayRS 791-5-4-U), soweit Teilbereiche der Landschaftsteile „Zwischen Osser und Bayerisch Eisenstein“ und „Am Arber“ innerhalb der Grenzen des Naturparks in der Gemeinde Lohberg im Landkreis Cham erfaßt sind,</w:t>
      </w:r>
    </w:p>
    <w:p>
      <w:r>
        <w:t xml:space="preserve">außer Kraft. Unberührt bleibt jedoch der Schutz folgender außerhalb der Grenzen des Naturparks gelegenen Landschaftsteile: Teilbereich des Landschaftsteils „Am Rachel“ in der Gemeinde Frauenau im Landkreis Regen (Regierungsbezirk Niederbayern); restliche Landschaftsteile im Landkreis Freyung-Grafenau (Regierungsbezirk Niederbayern).</w:t>
      </w:r>
    </w:p>
    <w:p>
      <w:r>
        <w:rPr>
          <w:color w:val="555555"/>
          <w:sz w:val="17"/>
        </w:rPr>
        <w:t xml:space="preserve">Zitiervorschlag: § 13 BayNParkV1989_659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https://recht.nulegal.eu/gesetze/BayNParkV1989_659/13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