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BayNParkV1987_420 (Bayern) — Schutzzone</w:t>
      </w:r>
    </w:p>
    <w:p>
      <w:r>
        <w:rPr>
          <w:color w:val="555555"/>
          <w:sz w:val="18"/>
        </w:rPr>
        <w:t xml:space="preserve">Verordnung über den „Naturpark Steinwald“ BayRS 791-5-6-U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Innerhalb des Naturparks wird eine Schutzzone festgesetzt, welche die Voraussetzungen eines Landschaftsschutzgebiets erfüllt. Die Schutzzone umfaßt die Bereiche, die in der in § 2 Abs. 1 genannten Anlage grob dargestellt sind.</w:t>
      </w:r>
    </w:p>
    <w:p>
      <w:r>
        <w:t xml:space="preserve">(2) Die genauen Grenzen der Schutzzone sind in der in § 2 Abs. 2 genannten Karte eingetragen, auf die Bezug genommen wird. Maßgebend für den Grenzverlauf ist der Eintrag in dieser Karte mit der Außenkante des Begrenzungsstrichs.</w:t>
      </w:r>
    </w:p>
    <w:p>
      <w:r>
        <w:rPr>
          <w:color w:val="555555"/>
          <w:sz w:val="17"/>
        </w:rPr>
        <w:t xml:space="preserve">Zitiervorschlag: § 3 BayNParkV1987_420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https://recht.nulegal.eu/gesetze/BayNParkV1987_420/3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