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BayNParkV1982_1069 (Bayern)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 in Verbindung mit Art. 10 Abs. 2 Sätze 3 und 4, Art. 45 Abs. 1 Nr. 2 und Art. 37 Abs. 2 Nr. 1 des Bayerischen Naturschutzgesetzes (BayNatSchG)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