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BayNParkV1982_1069 (Bayern) — Schutzzweck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Zweck der Festsetzung des Naturparks ist es,</w:t>
      </w:r>
    </w:p>
    <w:p>
      <w:r>
        <w:t xml:space="preserve">1. das wegen seiner Naturausstattung für die Erholung besonders geeignete Gebiet entsprechend dem Einrichtungsplan (§ 11) zu pflegen und zu entwickeln,</w:t>
      </w:r>
    </w:p>
    <w:p>
      <w:r>
        <w:t xml:space="preserve">2. die sich für die Erholung eignenden Landschaftsteile der Allgemeinheit zugänglich zu machen und zu erhalten, soweit die ökologische Wertung dies zuläßt,</w:t>
      </w:r>
    </w:p>
    <w:p>
      <w:r>
        <w:t xml:space="preserve">3. in der Schutzzone</w:t>
      </w:r>
    </w:p>
    <w:p>
      <w:r>
        <w:t xml:space="preserve">a) die Schönheit, Vielfalt und Eigenart des für die Bayerische Rhön typischen Landschaftsbildes zu bewahren und</w:t>
      </w:r>
    </w:p>
    <w:p>
      <w:r>
        <w:t xml:space="preserve">b) die Leistungsfähigkeit des Naturhaushalts zu gewährleisten, insbesondere Landschaftsschäden zu verhindern oder zu beheben.</w:t>
      </w:r>
    </w:p>
    <w:p>
      <w:r>
        <w:rPr>
          <w:color w:val="555555"/>
          <w:sz w:val="17"/>
        </w:rPr>
        <w:t xml:space="preserve">Zitiervorschlag: § 4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