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BayNParkV1982_1069 (Bayern) — Ordnungswidrigkeiten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Art. 52 Abs. 1 Nr. 3 BayNatSchG kann mit Geldbuße bis zu fünfzigtausend Deutsche Mark belegt werden, wer vorsätzlich oder fahrlässig eine nach § 7 Abs. 1 erlaubnispflichtige Maßnahme ohne die erforderliche Erlaubnis vornimmt</w:t>
      </w:r>
    </w:p>
    <w:p>
      <w:r>
        <w:t xml:space="preserve">(2) Nach Art. 52 Abs. 1 Nr. 6 BayNatSchG kann mit Geldbuße bis zu fünfzigtausend Deutsche Mark belegt werden, wer vorsätzlich oder fahrlässig einer vollziehbaren Nebenbestimmung in Form der Auflage zu einer Erlaubnis nach § 7 oder einer Befreiung nach § 9 nicht nachkommt.</w:t>
      </w:r>
    </w:p>
    <w:p>
      <w:r>
        <w:t xml:space="preserve">(3) Die Einziehung von Gegenständen richtet sich nach Art. 53 BayNatSchG.</w:t>
      </w:r>
    </w:p>
    <w:p>
      <w:r>
        <w:rPr>
          <w:color w:val="555555"/>
          <w:sz w:val="17"/>
        </w:rPr>
        <w:t xml:space="preserve">Zitiervorschlag: § 13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