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BayMoG (Bayern)</w:t>
      </w:r>
    </w:p>
    <w:p>
      <w:r>
        <w:rPr>
          <w:color w:val="555555"/>
          <w:sz w:val="18"/>
        </w:rPr>
        <w:t xml:space="preserve">Bayerisches Modellregionengesetz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Der Landtag des Freistaates Bayern hat das folgende Gesetz beschlossen, das hiermit bekannt gemacht wird:</w:t>
      </w:r>
    </w:p>
    <w:p>
      <w:r>
        <w:rPr>
          <w:color w:val="555555"/>
          <w:sz w:val="17"/>
        </w:rPr>
        <w:t xml:space="preserve">Zitiervorschlag: Eingangsformel BayMoG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https://recht.nulegal.eu/gesetze/BayMoG/eingangsformel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