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BayMoG (Bayern) — Einvernehmen</w:t>
      </w:r>
    </w:p>
    <w:p>
      <w:r>
        <w:rPr>
          <w:color w:val="555555"/>
          <w:sz w:val="18"/>
        </w:rPr>
        <w:t xml:space="preserve">Bayerisches Modellregionengesetz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Festsetzung als Modellregion erfolgt im Einvernehmen mit der Modellregion.</w:t>
      </w:r>
    </w:p>
    <w:p>
      <w:r>
        <w:t xml:space="preserve">(2) Soweit nach Art. 3 von einer Vorschrift freigestellt werden soll, die dem Geschäftsbereich eines anderen Staatsministeriums zuzuordnen ist, erfolgt der Erlass der Rechtsverordnung im Einvernehmen mit dem jeweils betroffenen Staatsministerium.</w:t>
      </w:r>
    </w:p>
    <w:p>
      <w:r>
        <w:rPr>
          <w:color w:val="555555"/>
          <w:sz w:val="17"/>
        </w:rPr>
        <w:t xml:space="preserve">Zitiervorschlag: Art 4 BayMoG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https://recht.nulegal.eu/gesetze/BayMoG/4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